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4D0D" w14:textId="77777777" w:rsidR="00926868" w:rsidRPr="00526329" w:rsidRDefault="00926868" w:rsidP="00926868">
      <w:pPr>
        <w:pStyle w:val="Nadpis1"/>
        <w:jc w:val="both"/>
        <w:rPr>
          <w:rFonts w:ascii="Times New Roman" w:hAnsi="Times New Roman" w:cs="Times New Roman"/>
          <w:b/>
          <w:bCs/>
          <w:color w:val="275317" w:themeColor="accent6" w:themeShade="80"/>
          <w:sz w:val="28"/>
          <w:szCs w:val="28"/>
        </w:rPr>
      </w:pPr>
      <w:r w:rsidRPr="00526329">
        <w:rPr>
          <w:rFonts w:ascii="Times New Roman" w:hAnsi="Times New Roman" w:cs="Times New Roman"/>
          <w:b/>
          <w:bCs/>
          <w:color w:val="275317" w:themeColor="accent6" w:themeShade="80"/>
          <w:sz w:val="28"/>
          <w:szCs w:val="28"/>
        </w:rPr>
        <w:t>Zhrnutie výsledkov výskumu vybraných systematických skupín stavovcov (Vertebrata)</w:t>
      </w:r>
    </w:p>
    <w:p w14:paraId="2A2DAE43" w14:textId="77777777" w:rsidR="00926868" w:rsidRPr="00901299" w:rsidRDefault="00926868" w:rsidP="00926868"/>
    <w:p w14:paraId="3582FF35" w14:textId="1BE0EE6E" w:rsidR="00926868" w:rsidRPr="00526329" w:rsidRDefault="00926868" w:rsidP="00926868">
      <w:pPr>
        <w:pStyle w:val="Nadpis1"/>
        <w:jc w:val="both"/>
        <w:rPr>
          <w:rFonts w:ascii="Times New Roman" w:hAnsi="Times New Roman" w:cs="Times New Roman"/>
          <w:b/>
          <w:bCs/>
          <w:color w:val="275317" w:themeColor="accent6" w:themeShade="80"/>
          <w:sz w:val="24"/>
          <w:szCs w:val="24"/>
        </w:rPr>
      </w:pPr>
      <w:bookmarkStart w:id="0" w:name="_Toc178970426"/>
      <w:r w:rsidRPr="00526329">
        <w:rPr>
          <w:rFonts w:ascii="Times New Roman" w:hAnsi="Times New Roman" w:cs="Times New Roman"/>
          <w:b/>
          <w:bCs/>
          <w:color w:val="275317" w:themeColor="accent6" w:themeShade="80"/>
          <w:sz w:val="24"/>
          <w:szCs w:val="24"/>
        </w:rPr>
        <w:t>Vtáky (Aves):</w:t>
      </w:r>
      <w:bookmarkEnd w:id="0"/>
    </w:p>
    <w:p w14:paraId="7D8556F0" w14:textId="77777777" w:rsidR="00926868" w:rsidRPr="00901299" w:rsidRDefault="00926868" w:rsidP="00926868"/>
    <w:p w14:paraId="7F652859" w14:textId="77777777" w:rsidR="00926868" w:rsidRPr="00901299" w:rsidRDefault="00926868" w:rsidP="00926868">
      <w:pPr>
        <w:pStyle w:val="Odsekzoznamu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Počas ornitologického výskumu vykonávaného v časovom intervale od augusta 2023 do augusta 2024 sme potvrdili v skúmanom území výskyt 1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901299">
        <w:rPr>
          <w:rFonts w:ascii="Times New Roman" w:hAnsi="Times New Roman" w:cs="Times New Roman"/>
          <w:sz w:val="24"/>
          <w:szCs w:val="24"/>
        </w:rPr>
        <w:t xml:space="preserve"> druhov vtákov (Aves),</w:t>
      </w:r>
    </w:p>
    <w:p w14:paraId="66C9E593" w14:textId="77777777" w:rsidR="00926868" w:rsidRPr="00901299" w:rsidRDefault="00926868" w:rsidP="00926868">
      <w:pPr>
        <w:pStyle w:val="Odsekzoznamu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druhová bohatosť (počet druhov) bola najvyššia počas hniezdnej sezóny (115 druhov), mierne klesla v priebehu migračnej sezóny (101 druhov) a najnižšiu úroveň dosiahla počas zimnej sezóny (64 druhov),</w:t>
      </w:r>
    </w:p>
    <w:p w14:paraId="6A79335B" w14:textId="77777777" w:rsidR="00926868" w:rsidRPr="00901299" w:rsidRDefault="00926868" w:rsidP="00926868">
      <w:pPr>
        <w:pStyle w:val="Odsekzoznamu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druhová diverzita vzorkovaných ornitocenóz sa menila v závislosti od sezóny výskytu, najvyššia bola počas hniezdnej sezóny, najnižšia v priebehu migračného obdobia,</w:t>
      </w:r>
    </w:p>
    <w:p w14:paraId="46B42D08" w14:textId="77777777" w:rsidR="00926868" w:rsidRPr="00901299" w:rsidRDefault="00926868" w:rsidP="00926868">
      <w:pPr>
        <w:pStyle w:val="Odsekzoznamu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vysokú druhovú bohatosť skúmaného územia podmieňuje fakt, že v jeho blízkosti sa nachádza CHVÚ Sĺňava, kde bol v rokoch 1959 – 2012 zaznamenaný výskyt až 245 druhov vtákov,</w:t>
      </w:r>
    </w:p>
    <w:p w14:paraId="0930793B" w14:textId="77777777" w:rsidR="00926868" w:rsidRPr="00901299" w:rsidRDefault="00926868" w:rsidP="00926868">
      <w:pPr>
        <w:pStyle w:val="Odsekzoznamu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variačné rozpätie smeru letu vtákov v rámci záujmového územia varírovalo v rozmedzí 10 – 344° a vykazovalo medzidruhové rozdiely,</w:t>
      </w:r>
    </w:p>
    <w:p w14:paraId="23A78070" w14:textId="4DF1E4E3" w:rsidR="00926868" w:rsidRDefault="00926868" w:rsidP="00926868">
      <w:pPr>
        <w:pStyle w:val="Odsekzoznamu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meraná bola aj výška letu zistených druhov vtákov nad úrovňou terénu; druhy radu Accipitriformes lietali vo výške 1 – 160 m, Falconiformes 15 – 120 m, nespevavce (Ardeidae, Columbiformes, Galliformes a Charadriiformes) pr</w:t>
      </w:r>
      <w:r w:rsidRPr="00AA6E95">
        <w:rPr>
          <w:rFonts w:ascii="Times New Roman" w:hAnsi="Times New Roman" w:cs="Times New Roman"/>
          <w:sz w:val="24"/>
          <w:szCs w:val="24"/>
        </w:rPr>
        <w:t>e</w:t>
      </w:r>
      <w:r w:rsidRPr="00901299">
        <w:rPr>
          <w:rFonts w:ascii="Times New Roman" w:hAnsi="Times New Roman" w:cs="Times New Roman"/>
          <w:sz w:val="24"/>
          <w:szCs w:val="24"/>
        </w:rPr>
        <w:t>lietali v letových hladinách  3 – 60 m a spevavce (Passeriformes) vo výškach 2 – 420 m nad úrovňou zemského povrchu</w:t>
      </w:r>
      <w:r w:rsidR="00526329">
        <w:rPr>
          <w:rFonts w:ascii="Times New Roman" w:hAnsi="Times New Roman" w:cs="Times New Roman"/>
          <w:sz w:val="24"/>
          <w:szCs w:val="24"/>
        </w:rPr>
        <w:t>,</w:t>
      </w:r>
    </w:p>
    <w:p w14:paraId="5F97F9AC" w14:textId="3991B4CF" w:rsidR="00526329" w:rsidRPr="00526329" w:rsidRDefault="00526329" w:rsidP="00526329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najviac druhov vtákov bolo počas videomonitoringu registrovaných v júni 2024 (hniezdne obdobie), najmenej počas jesenného ťahu (október 2023) a ku koncu zimy (február 2024)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F6FE69" w14:textId="77777777" w:rsidR="00926868" w:rsidRPr="00901299" w:rsidRDefault="00926868" w:rsidP="0092686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AE50C" w14:textId="3B0166D1" w:rsidR="00926868" w:rsidRPr="00526329" w:rsidRDefault="00926868" w:rsidP="00926868">
      <w:pPr>
        <w:pStyle w:val="Nadpis1"/>
        <w:jc w:val="both"/>
        <w:rPr>
          <w:rFonts w:ascii="Times New Roman" w:hAnsi="Times New Roman" w:cs="Times New Roman"/>
          <w:b/>
          <w:bCs/>
          <w:color w:val="275317" w:themeColor="accent6" w:themeShade="80"/>
          <w:sz w:val="24"/>
          <w:szCs w:val="24"/>
        </w:rPr>
      </w:pPr>
      <w:bookmarkStart w:id="1" w:name="_Toc178970427"/>
      <w:r w:rsidRPr="00526329">
        <w:rPr>
          <w:rFonts w:ascii="Times New Roman" w:hAnsi="Times New Roman" w:cs="Times New Roman"/>
          <w:b/>
          <w:bCs/>
          <w:color w:val="275317" w:themeColor="accent6" w:themeShade="80"/>
          <w:sz w:val="24"/>
          <w:szCs w:val="24"/>
        </w:rPr>
        <w:t>Netopiere (Chiroptera):</w:t>
      </w:r>
      <w:bookmarkEnd w:id="1"/>
    </w:p>
    <w:p w14:paraId="5E532370" w14:textId="77777777" w:rsidR="00926868" w:rsidRPr="00926868" w:rsidRDefault="00926868" w:rsidP="00926868"/>
    <w:p w14:paraId="5481F492" w14:textId="77777777" w:rsidR="00926868" w:rsidRPr="00901299" w:rsidRDefault="00926868" w:rsidP="00926868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Počas 11 mesiacov trvajúceho chiropterologického výskumu sme zaregistrovali výskyt 26 druhov netopierov,</w:t>
      </w:r>
    </w:p>
    <w:p w14:paraId="18905E95" w14:textId="77777777" w:rsidR="00926868" w:rsidRPr="00901299" w:rsidRDefault="00926868" w:rsidP="00926868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lastRenderedPageBreak/>
        <w:t>počet druhov netopierov i počet ultrazvukových záznamov varíroval tak v rámci ročných období, ako aj v rámci mesiacov, cirkaanuálneho a cirkadiánneho rytmu,</w:t>
      </w:r>
    </w:p>
    <w:p w14:paraId="75892FED" w14:textId="77777777" w:rsidR="00926868" w:rsidRPr="00901299" w:rsidRDefault="00926868" w:rsidP="00926868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zaznamenali sme aj výrazné rozdiely druhových spektier spoločenstiev netopierov v jednotlivých fázach ich životného cyklu,</w:t>
      </w:r>
    </w:p>
    <w:p w14:paraId="2B0080F9" w14:textId="77777777" w:rsidR="00926868" w:rsidRPr="00901299" w:rsidRDefault="00926868" w:rsidP="00926868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95">
        <w:rPr>
          <w:rFonts w:ascii="Times New Roman" w:hAnsi="Times New Roman" w:cs="Times New Roman"/>
          <w:sz w:val="24"/>
          <w:szCs w:val="24"/>
        </w:rPr>
        <w:t>druhová bohatosť bola tak počas jarnej migrácie, ako aj počas fázy výchovy mláďat</w:t>
      </w:r>
      <w:r w:rsidRPr="00901299">
        <w:rPr>
          <w:rFonts w:ascii="Times New Roman" w:hAnsi="Times New Roman" w:cs="Times New Roman"/>
          <w:sz w:val="24"/>
          <w:szCs w:val="24"/>
        </w:rPr>
        <w:t xml:space="preserve"> a jesenných preletov vyrovnaná,</w:t>
      </w:r>
    </w:p>
    <w:p w14:paraId="4D609D42" w14:textId="77777777" w:rsidR="00926868" w:rsidRPr="00901299" w:rsidRDefault="00926868" w:rsidP="00926868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 xml:space="preserve">vzhľadom k teplému charakteru počasia počas zimy 2023/24 netopiere aktivovali ešte aj na začiatku (v novembri 2023) a na konci hibernačného cyklu (marec 2024). Takýto posun </w:t>
      </w:r>
      <w:r>
        <w:rPr>
          <w:rFonts w:ascii="Times New Roman" w:hAnsi="Times New Roman" w:cs="Times New Roman"/>
          <w:sz w:val="24"/>
          <w:szCs w:val="24"/>
        </w:rPr>
        <w:t>aktivity</w:t>
      </w:r>
      <w:r w:rsidRPr="00901299">
        <w:rPr>
          <w:rFonts w:ascii="Times New Roman" w:hAnsi="Times New Roman" w:cs="Times New Roman"/>
          <w:sz w:val="24"/>
          <w:szCs w:val="24"/>
        </w:rPr>
        <w:t xml:space="preserve"> do zimných mesiacov sme zaznamenali pri 8 druhoch,</w:t>
      </w:r>
    </w:p>
    <w:p w14:paraId="0E7DCDCA" w14:textId="77777777" w:rsidR="00926868" w:rsidRPr="00901299" w:rsidRDefault="00926868" w:rsidP="00926868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maximálny počet signálov a hlasov sme pri bioakustickom výskume identifikovali v období jarnej migrácie (n = 7 880 nahrávok/ročný cyklus), minimálny naopak na začiatku a konci hibernačného cyklu,</w:t>
      </w:r>
    </w:p>
    <w:p w14:paraId="0B4C6593" w14:textId="77777777" w:rsidR="00926868" w:rsidRPr="00901299" w:rsidRDefault="00926868" w:rsidP="00926868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 xml:space="preserve"> netopiere vyskytujúce sa opakovanie v nami študovanom území začínali aktivovať okolo 19. hodiny, hlasová aktivita mala stúpajúci trend po 20. hodine, kulminovala okolo polnoci a postupne klesala v časovom intervale 1:00 – 4:00 hod.,</w:t>
      </w:r>
    </w:p>
    <w:p w14:paraId="0CE16BCE" w14:textId="77777777" w:rsidR="00926868" w:rsidRPr="00901299" w:rsidRDefault="00926868" w:rsidP="00926868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 xml:space="preserve">rozdiely v trvaní a priebehu hlasovej aktivity boli druhovo špecifické a vykazovali aj denné i sezónne zmeny. </w:t>
      </w:r>
    </w:p>
    <w:p w14:paraId="3EF1888A" w14:textId="77777777" w:rsidR="00926868" w:rsidRPr="00901299" w:rsidRDefault="00926868" w:rsidP="00926868">
      <w:pPr>
        <w:pStyle w:val="Nadpis1"/>
        <w:jc w:val="both"/>
        <w:rPr>
          <w:b/>
          <w:bCs/>
          <w:color w:val="275317" w:themeColor="accent6" w:themeShade="80"/>
        </w:rPr>
      </w:pPr>
    </w:p>
    <w:p w14:paraId="530FF3A4" w14:textId="77777777" w:rsidR="00926868" w:rsidRPr="00526329" w:rsidRDefault="00926868" w:rsidP="00926868">
      <w:pPr>
        <w:pStyle w:val="Nadpis1"/>
        <w:jc w:val="both"/>
        <w:rPr>
          <w:rFonts w:ascii="Times New Roman" w:hAnsi="Times New Roman" w:cs="Times New Roman"/>
          <w:b/>
          <w:bCs/>
          <w:color w:val="275317" w:themeColor="accent6" w:themeShade="80"/>
          <w:sz w:val="24"/>
          <w:szCs w:val="24"/>
        </w:rPr>
      </w:pPr>
      <w:bookmarkStart w:id="2" w:name="_Toc178970428"/>
      <w:r w:rsidRPr="00526329">
        <w:rPr>
          <w:rFonts w:ascii="Times New Roman" w:hAnsi="Times New Roman" w:cs="Times New Roman"/>
          <w:b/>
          <w:bCs/>
          <w:color w:val="275317" w:themeColor="accent6" w:themeShade="80"/>
          <w:sz w:val="24"/>
          <w:szCs w:val="24"/>
        </w:rPr>
        <w:t>Cicavce (Mammalia):</w:t>
      </w:r>
      <w:bookmarkEnd w:id="2"/>
    </w:p>
    <w:p w14:paraId="2513FDE4" w14:textId="77777777" w:rsidR="00926868" w:rsidRPr="00926868" w:rsidRDefault="00926868" w:rsidP="00926868"/>
    <w:p w14:paraId="2602CECB" w14:textId="77777777" w:rsidR="00926868" w:rsidRPr="00901299" w:rsidRDefault="00926868" w:rsidP="00926868">
      <w:pPr>
        <w:pStyle w:val="Odsekzoznamu"/>
        <w:numPr>
          <w:ilvl w:val="0"/>
          <w:numId w:val="2"/>
        </w:numPr>
        <w:spacing w:line="360" w:lineRule="auto"/>
        <w:jc w:val="both"/>
      </w:pPr>
      <w:r w:rsidRPr="00901299">
        <w:rPr>
          <w:rFonts w:ascii="Times New Roman" w:hAnsi="Times New Roman" w:cs="Times New Roman"/>
          <w:sz w:val="24"/>
          <w:szCs w:val="24"/>
        </w:rPr>
        <w:t>Počas rok trvajúceho mammaliologického výskumu sme v záujmovom území zistili pravidelný výskyt 19 druhov cicavcov, vrátane 2 druhov drobných zemných cicavcov (potkan tmavý a ryšavka obyčajná),</w:t>
      </w:r>
    </w:p>
    <w:p w14:paraId="54C41105" w14:textId="77777777" w:rsidR="00926868" w:rsidRPr="00901299" w:rsidRDefault="00926868" w:rsidP="00926868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pri permanentnom videomonitoringu fotopasce automaticky zaznamenali aktivitu 4 518 jedincov/pokusná plocha/rok,</w:t>
      </w:r>
    </w:p>
    <w:p w14:paraId="00CDCD67" w14:textId="77777777" w:rsidR="00926868" w:rsidRPr="00901299" w:rsidRDefault="00926868" w:rsidP="00926868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celkový počet fotopascami zaznamenaných pozitívnych videosekvencií (s výskytom cicavcov) dosiahol za celé sledované obdobie hodnotu 4 518 videosekvencií/pokusná plocha/rok,</w:t>
      </w:r>
    </w:p>
    <w:p w14:paraId="724DA110" w14:textId="77777777" w:rsidR="00926868" w:rsidRPr="00901299" w:rsidRDefault="00926868" w:rsidP="00926868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najvyššiu časopriestorovú aktivitu vykazovali jedince srnca lesného (</w:t>
      </w:r>
      <w:r w:rsidRPr="00901299">
        <w:rPr>
          <w:rFonts w:ascii="Times New Roman" w:hAnsi="Times New Roman" w:cs="Times New Roman"/>
          <w:i/>
          <w:iCs/>
          <w:sz w:val="24"/>
          <w:szCs w:val="24"/>
        </w:rPr>
        <w:t>Capreolus capreolus</w:t>
      </w:r>
      <w:r w:rsidRPr="00901299">
        <w:rPr>
          <w:rFonts w:ascii="Times New Roman" w:hAnsi="Times New Roman" w:cs="Times New Roman"/>
          <w:sz w:val="24"/>
          <w:szCs w:val="24"/>
        </w:rPr>
        <w:t>) v januári 2024,</w:t>
      </w:r>
    </w:p>
    <w:p w14:paraId="2728C8F1" w14:textId="77777777" w:rsidR="00926868" w:rsidRPr="00901299" w:rsidRDefault="00926868" w:rsidP="00926868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lastRenderedPageBreak/>
        <w:t>celková dĺžka pozitívnych videosekvencií dosiahla počas monitorovacej periódy 48 289 sekúnd a v jednotlivých mesiacoch výskumu variovala v rozpätí 468 (október 2023) – 16 766 s (január 2024),</w:t>
      </w:r>
    </w:p>
    <w:p w14:paraId="62B19ABE" w14:textId="77777777" w:rsidR="00926868" w:rsidRPr="00901299" w:rsidRDefault="00926868" w:rsidP="00926868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počet videomonitoringom identifikovaných druhov kolísal v rozmedzí 7 (október 2023) - 10 druhov (november 2023 a máj – jún 2024),</w:t>
      </w:r>
    </w:p>
    <w:p w14:paraId="528A5904" w14:textId="77777777" w:rsidR="00926868" w:rsidRPr="00901299" w:rsidRDefault="00926868" w:rsidP="00926868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najvyššiu abundaciu vykazoval srnec lesný, druhú najvyššiu sumárnu početnosť sme pri analýze videosekvencií zaregistrovali u zajaca poľného, za nimi nasledoval potkan tmavý,</w:t>
      </w:r>
    </w:p>
    <w:p w14:paraId="2085E12C" w14:textId="77777777" w:rsidR="00926868" w:rsidRPr="00901299" w:rsidRDefault="00926868" w:rsidP="00926868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druhové zloženie cicavcov sa menilo v závislosti od ročného obdobia,</w:t>
      </w:r>
    </w:p>
    <w:p w14:paraId="4B1C0BFB" w14:textId="77777777" w:rsidR="00926868" w:rsidRPr="00901299" w:rsidRDefault="00926868" w:rsidP="00926868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cirkadiánna aktivita cicavcov má v študovanom území zreteľne dvojfázový priebeh - stúpa cca 1 – 2 pred súmrakom, s 1. kulmináciou okolo polnoci a 2. pred východom slnka (okolo 6. hodiny), potom klesá a najnižšiu intenzitu dosahuje krátko popoludní medzi 13. – 14. hodinou,</w:t>
      </w:r>
    </w:p>
    <w:p w14:paraId="0E048277" w14:textId="77777777" w:rsidR="00926868" w:rsidRPr="00901299" w:rsidRDefault="00926868" w:rsidP="00926868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>cirkadiánna aktivita vykazovala jednak signifikantné medzidruhové rozdiely, jednak i priestorové diferencie (medzi jednotlivými fotopascami),</w:t>
      </w:r>
    </w:p>
    <w:p w14:paraId="5E0DC062" w14:textId="77777777" w:rsidR="00926868" w:rsidRPr="00901299" w:rsidRDefault="00926868" w:rsidP="00926868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99">
        <w:rPr>
          <w:rFonts w:ascii="Times New Roman" w:hAnsi="Times New Roman" w:cs="Times New Roman"/>
          <w:sz w:val="24"/>
          <w:szCs w:val="24"/>
        </w:rPr>
        <w:t xml:space="preserve"> počas videomoni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78726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87262">
        <w:rPr>
          <w:rFonts w:ascii="Times New Roman" w:hAnsi="Times New Roman" w:cs="Times New Roman"/>
          <w:sz w:val="24"/>
          <w:szCs w:val="24"/>
        </w:rPr>
        <w:t>ngu</w:t>
      </w:r>
      <w:r w:rsidRPr="00901299">
        <w:rPr>
          <w:rFonts w:ascii="Times New Roman" w:hAnsi="Times New Roman" w:cs="Times New Roman"/>
          <w:sz w:val="24"/>
          <w:szCs w:val="24"/>
        </w:rPr>
        <w:t xml:space="preserve"> zameranom na časopriestorovú aktivitu cicavcov, bola zaznamenaná i časopriestorová aktivita vtákov (18 druhov/výskumná perióda/skúmané územie),</w:t>
      </w:r>
    </w:p>
    <w:p w14:paraId="6EB13502" w14:textId="77777777" w:rsidR="00FE23E8" w:rsidRDefault="00FE23E8">
      <w:pPr>
        <w:rPr>
          <w:b/>
          <w:bCs/>
          <w:color w:val="275317" w:themeColor="accent6" w:themeShade="80"/>
        </w:rPr>
      </w:pPr>
    </w:p>
    <w:p w14:paraId="4D461085" w14:textId="77777777" w:rsidR="00FE23E8" w:rsidRDefault="00FE23E8">
      <w:pPr>
        <w:rPr>
          <w:b/>
          <w:bCs/>
          <w:color w:val="275317" w:themeColor="accent6" w:themeShade="80"/>
        </w:rPr>
      </w:pPr>
    </w:p>
    <w:p w14:paraId="0E0AABCC" w14:textId="354C5AD9" w:rsidR="006A20FE" w:rsidRPr="00526329" w:rsidRDefault="00FE23E8" w:rsidP="00926868">
      <w:pPr>
        <w:jc w:val="both"/>
        <w:rPr>
          <w:rFonts w:ascii="Times New Roman" w:hAnsi="Times New Roman" w:cs="Times New Roman"/>
          <w:b/>
          <w:bCs/>
          <w:color w:val="275317" w:themeColor="accent6" w:themeShade="80"/>
          <w:sz w:val="28"/>
          <w:szCs w:val="28"/>
        </w:rPr>
      </w:pPr>
      <w:r w:rsidRPr="00526329">
        <w:rPr>
          <w:rFonts w:ascii="Times New Roman" w:hAnsi="Times New Roman" w:cs="Times New Roman"/>
          <w:b/>
          <w:bCs/>
          <w:color w:val="275317" w:themeColor="accent6" w:themeShade="80"/>
          <w:sz w:val="28"/>
          <w:szCs w:val="28"/>
        </w:rPr>
        <w:t>Vyhodnotenie senzitivity navrhovaného územia s ohľadom na výskyt vtákov a netopierov (Hološková et al. 2023)a závery vyplývajúce z ročného terénneho výskumu vtákov a netopierov uskutočneného Hlôškom v rokoch 2023 a 2024</w:t>
      </w:r>
    </w:p>
    <w:p w14:paraId="741636E7" w14:textId="77777777" w:rsidR="00FE23E8" w:rsidRDefault="00FE23E8">
      <w:pPr>
        <w:rPr>
          <w:b/>
          <w:bCs/>
          <w:color w:val="275317" w:themeColor="accent6" w:themeShade="80"/>
        </w:rPr>
      </w:pPr>
    </w:p>
    <w:p w14:paraId="5782E8A0" w14:textId="77777777" w:rsidR="00FE23E8" w:rsidRPr="003C01CE" w:rsidRDefault="00FE23E8" w:rsidP="00FE23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1CE">
        <w:rPr>
          <w:rFonts w:ascii="Times New Roman" w:hAnsi="Times New Roman" w:cs="Times New Roman"/>
          <w:sz w:val="24"/>
          <w:szCs w:val="24"/>
        </w:rPr>
        <w:t>Z hľadiska hodnotiacich kritérií (hodnotenie celkovej druhovej diverzity vtákov a netopierov v hodnotenom území) patrí nami študované územie do vysoko citlivej oblasti. Na tomto území je z pohľadu ochrany vtákov a netopierov výstavba veterných elektrární neprípustná (Hološková et al. 2023).</w:t>
      </w:r>
    </w:p>
    <w:p w14:paraId="627BBE52" w14:textId="580A4835" w:rsidR="00FE23E8" w:rsidRDefault="00FE23E8" w:rsidP="00FE23E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C80">
        <w:rPr>
          <w:rFonts w:ascii="Times New Roman" w:hAnsi="Times New Roman" w:cs="Times New Roman"/>
          <w:sz w:val="24"/>
          <w:szCs w:val="24"/>
        </w:rPr>
        <w:t xml:space="preserve">Vysoko citlivé oblasti pokrývajú 73,2 % územia Slovenska. Vo veľkej väčšine prípadov by totiž vplyvy na európsky a národne významné druhy vtákov a netopierov a na dotknuté predmety ochrany v územiach sústavy Natura 2000 boli tak významné, že by bola narušená integrita území sústavy Natura 2000 a výstavba by tak nebola v území možná v zmysle § 28 </w:t>
      </w:r>
      <w:r w:rsidRPr="00FE4C80">
        <w:rPr>
          <w:rFonts w:ascii="Times New Roman" w:hAnsi="Times New Roman" w:cs="Times New Roman"/>
          <w:sz w:val="24"/>
          <w:szCs w:val="24"/>
        </w:rPr>
        <w:lastRenderedPageBreak/>
        <w:t xml:space="preserve">zákona č. 543/2002 Z. z., čo je pri realizácii veterných parkov neprípustné. </w:t>
      </w:r>
      <w:bookmarkStart w:id="3" w:name="_Hlk190057651"/>
      <w:r w:rsidRPr="003C0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základe výsledkov terénnych výskumov vtákov, ktoré potvrdili na jednej strane ich vysokú biodiverzitu, na strane druhej aj ich populačnú a hniezdnu hustotu. Nemožno opomenúť ani fakt, že dotknuté biotopy sú celoročne potravnou základňou pre všetky druhy vtákov, samozrejme i tie, ktoré hniezdia v neďalekých CHVÚ. Z uvedeného dôvodu je </w:t>
      </w:r>
      <w:r w:rsidR="00926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vysoko </w:t>
      </w:r>
      <w:r w:rsidRPr="003C0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pravdepodobné narušenie potravných sietí, hniezdnej úspešnosti a tým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cez kritériové druhy týchto CHVÚ (orol kráľovský, sokol rároh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 do </w:t>
      </w:r>
      <w:r w:rsidRPr="003C01CE">
        <w:rPr>
          <w:rFonts w:ascii="Times New Roman" w:hAnsi="Times New Roman" w:cs="Times New Roman"/>
          <w:color w:val="000000" w:themeColor="text1"/>
          <w:sz w:val="24"/>
          <w:szCs w:val="24"/>
        </w:rPr>
        <w:t>integrity blízkych CHVÚ vo väzbe na okolité biotopy.</w:t>
      </w:r>
    </w:p>
    <w:p w14:paraId="20A2C461" w14:textId="2905092B" w:rsidR="00FE23E8" w:rsidRDefault="00FE23E8" w:rsidP="00FE23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C80">
        <w:rPr>
          <w:rFonts w:ascii="Times New Roman" w:hAnsi="Times New Roman" w:cs="Times New Roman"/>
          <w:sz w:val="24"/>
          <w:szCs w:val="24"/>
        </w:rPr>
        <w:t xml:space="preserve">Z hľadiska hodnotiacich kritérií (hodnotenie celkovej druhovej diverzity vtákov a netopierov v hodnotenom území) patrí nami študované územie do vysoko citlivej oblasti z dôvodu identifikácie hniezdísk sokola rároha a orla kráľovského v blízkosti navrhovaného VP – zásah do nárazníkových zón okolo hniezd týchto dravcov, ktoré sú v oboch prípadoch touto štúdiou stanovené na 3 km okolo hniezd. Tieto hniezda sa </w:t>
      </w:r>
      <w:r>
        <w:rPr>
          <w:rFonts w:ascii="Times New Roman" w:hAnsi="Times New Roman" w:cs="Times New Roman"/>
          <w:sz w:val="24"/>
          <w:szCs w:val="24"/>
        </w:rPr>
        <w:t xml:space="preserve">síce </w:t>
      </w:r>
      <w:r w:rsidRPr="00FE4C80">
        <w:rPr>
          <w:rFonts w:ascii="Times New Roman" w:hAnsi="Times New Roman" w:cs="Times New Roman"/>
          <w:sz w:val="24"/>
          <w:szCs w:val="24"/>
        </w:rPr>
        <w:t>nachádzajú mimo území sústavy Natura 2000</w:t>
      </w:r>
      <w:r>
        <w:rPr>
          <w:rFonts w:ascii="Times New Roman" w:hAnsi="Times New Roman" w:cs="Times New Roman"/>
          <w:sz w:val="24"/>
          <w:szCs w:val="24"/>
        </w:rPr>
        <w:t xml:space="preserve">, avšak potravné teritória </w:t>
      </w:r>
      <w:bookmarkStart w:id="4" w:name="_Hlk190057765"/>
      <w:r>
        <w:rPr>
          <w:rFonts w:ascii="Times New Roman" w:hAnsi="Times New Roman" w:cs="Times New Roman"/>
          <w:sz w:val="24"/>
          <w:szCs w:val="24"/>
        </w:rPr>
        <w:t>zasahujú, presnejšie povedané, pokrývajú plochu dotknutého územia (prekr</w:t>
      </w:r>
      <w:r>
        <w:rPr>
          <w:rFonts w:ascii="Times New Roman" w:hAnsi="Times New Roman" w:cs="Times New Roman"/>
          <w:sz w:val="24"/>
          <w:szCs w:val="24"/>
        </w:rPr>
        <w:t>yv</w:t>
      </w:r>
      <w:r>
        <w:rPr>
          <w:rFonts w:ascii="Times New Roman" w:hAnsi="Times New Roman" w:cs="Times New Roman"/>
          <w:sz w:val="24"/>
          <w:szCs w:val="24"/>
        </w:rPr>
        <w:t xml:space="preserve"> trofických ník). </w:t>
      </w:r>
    </w:p>
    <w:p w14:paraId="1F547C08" w14:textId="66E8F00F" w:rsidR="00FE23E8" w:rsidRDefault="00FE23E8" w:rsidP="00FE23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0057797"/>
      <w:bookmarkEnd w:id="4"/>
      <w:r>
        <w:rPr>
          <w:rFonts w:ascii="Times New Roman" w:hAnsi="Times New Roman" w:cs="Times New Roman"/>
          <w:sz w:val="24"/>
          <w:szCs w:val="24"/>
        </w:rPr>
        <w:t xml:space="preserve">Nepretržitý batdetektoring (apríl – november) vykonávaný na 2 stacionárnych bodoch skúmaného územia potvrdil jednak vysokú druhovú diverzitu taxocenózy netopierov, ako aj ich vysokú denzitu a časopriestorovú aktivitu (frekvenciu preletov napr. pri love potravy), a to </w:t>
      </w:r>
      <w:r w:rsidR="00926868">
        <w:rPr>
          <w:rFonts w:ascii="Times New Roman" w:hAnsi="Times New Roman" w:cs="Times New Roman"/>
          <w:sz w:val="24"/>
          <w:szCs w:val="24"/>
        </w:rPr>
        <w:t>nielen</w:t>
      </w:r>
      <w:r>
        <w:rPr>
          <w:rFonts w:ascii="Times New Roman" w:hAnsi="Times New Roman" w:cs="Times New Roman"/>
          <w:sz w:val="24"/>
          <w:szCs w:val="24"/>
        </w:rPr>
        <w:t xml:space="preserve"> v rozmnožovacom období, </w:t>
      </w:r>
      <w:r w:rsidR="00926868">
        <w:rPr>
          <w:rFonts w:ascii="Times New Roman" w:hAnsi="Times New Roman" w:cs="Times New Roman"/>
          <w:sz w:val="24"/>
          <w:szCs w:val="24"/>
        </w:rPr>
        <w:t>ale aj</w:t>
      </w:r>
      <w:r>
        <w:rPr>
          <w:rFonts w:ascii="Times New Roman" w:hAnsi="Times New Roman" w:cs="Times New Roman"/>
          <w:sz w:val="24"/>
          <w:szCs w:val="24"/>
        </w:rPr>
        <w:t xml:space="preserve"> počas jarnej a jesennej migrácie, čo dokazuje opodstatnenosť zaradenia riešeného územia medzi vysoko senzitívne oblasti. </w:t>
      </w:r>
    </w:p>
    <w:p w14:paraId="244D78F5" w14:textId="0726FAA1" w:rsidR="00FE23E8" w:rsidRPr="003C01CE" w:rsidRDefault="00FE23E8" w:rsidP="00FE23E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Územím so zámerom vybudovania VP Drahovce navyše prechádza významná, európska migračná trasa vtáctva, čo ešte viac podčiarkuje nevhodnosť vybraného územia na realizáciu projektu VP Drahovce.</w:t>
      </w:r>
      <w:bookmarkEnd w:id="5"/>
    </w:p>
    <w:bookmarkEnd w:id="3"/>
    <w:p w14:paraId="5DDBF427" w14:textId="77777777" w:rsidR="00FE23E8" w:rsidRDefault="00FE23E8"/>
    <w:sectPr w:rsidR="00FE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217"/>
    <w:multiLevelType w:val="multilevel"/>
    <w:tmpl w:val="452E4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C455A7B"/>
    <w:multiLevelType w:val="hybridMultilevel"/>
    <w:tmpl w:val="DC7628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80BC0"/>
    <w:multiLevelType w:val="hybridMultilevel"/>
    <w:tmpl w:val="0B4E32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39881">
    <w:abstractNumId w:val="2"/>
  </w:num>
  <w:num w:numId="2" w16cid:durableId="1616710774">
    <w:abstractNumId w:val="1"/>
  </w:num>
  <w:num w:numId="3" w16cid:durableId="103889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E8"/>
    <w:rsid w:val="00526329"/>
    <w:rsid w:val="006A20FE"/>
    <w:rsid w:val="00926868"/>
    <w:rsid w:val="009A3ACB"/>
    <w:rsid w:val="00DA74B4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AB6A"/>
  <w15:chartTrackingRefBased/>
  <w15:docId w15:val="{36D21C1F-7A52-41FC-981C-6F504D47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2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2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2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E2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E2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E2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E2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E2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E2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2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2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2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E23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E23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E23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E23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E23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E23E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E2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E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E2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E2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E2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E23E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E23E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E23E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E2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23E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E2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Hlôška</dc:creator>
  <cp:keywords/>
  <dc:description/>
  <cp:lastModifiedBy>Ladislav Hlôška</cp:lastModifiedBy>
  <cp:revision>2</cp:revision>
  <dcterms:created xsi:type="dcterms:W3CDTF">2025-03-05T17:44:00Z</dcterms:created>
  <dcterms:modified xsi:type="dcterms:W3CDTF">2025-03-05T18:00:00Z</dcterms:modified>
</cp:coreProperties>
</file>